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8"/>
          <w:sz w:val="27"/>
          <w:szCs w:val="27"/>
          <w:shd w:val="clear" w:fill="FFFFFF"/>
          <w:lang w:val="en-US" w:eastAsia="zh-CN"/>
        </w:rPr>
        <w:t>滁州市龙飞化工有限公司地块土壤污染状况初步调查报告摘要公示（2022.04.29）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地块名称：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滁州市龙飞化工有限公司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占地面积：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40209.4m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vertAlign w:val="superscript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地理位置：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滁州市来安县汊河镇老104国道西侧104街1号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土地使用权人：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滁州市龙飞化工有限公司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地块土地利用现状：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生产设施已拆除、清运完成，目前空置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未来规划：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工业用地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土壤污染状况初步调查单位：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安徽基越环境检测有限公司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调查缘由：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）用途变更为住宅、公共管理与公共服务用地的，变更前应当按照规定进行土壤污染状况调查的地块。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）土壤污染重点监管单位生产经营用地的用途变更或土地使用权收回、转让的地块。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）从事过有色金属矿采选、金属冶炼、石油加工、化工、焦化、电镀、制革、造纸、印染、汽车拆解、造船、医药制造、铅酸蓄电池制造、废旧电子拆解和危险化学品生产、储存、使用等行业企业用地，从事过危险废物贮存、利用、处置活动的用地，火力发电、燃气生产和供应、垃圾填埋场、垃圾焚烧场、市政及工业园区污水处理厂和污泥处理处置等用地，其用途变更或土地使用权收回、转让的地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二、第一阶段调查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第一阶段调查工作开展时间为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2022年1月12日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。根据调查情况，地块此前为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农田、荒地，后由滁州市龙飞化工有限公司生产甲醛、氨基树脂、丙烯酸树脂、醇酸树脂产品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，龙飞化工公司于2020年3月开始逐步停产、拆除设备进行搬迁入园工作，至2021年12月已全面停产并完成拆除、清运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根据相邻地块土地利用历史沿革，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周边主要以敏感点（村庄、住宅、小区等）分布较多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根据污染识别结果，调查地块内重点关注区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为储罐区（3处）、危废库、甲醛车间（2处）、化验室、成品仓库（2处）、氨基树脂车间、污水站、煤场、锅炉房、醇酸树脂车间、原料仓库（2处）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，需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关注的污染物包括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二甲苯、苯乙烯、甲醛、石油烃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三、初步采样调查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第二阶段土壤污染状况调查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初步采样时间为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2022年1月16日-17日、4月16日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，共布设土壤监测点位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个，采样深度为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~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6.5m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，共采集土壤样品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140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（不包含现场平行样）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，检测项目包括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GB36600中的基本45项（含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二甲苯、苯乙烯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）、pH、甲醛和石油烃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；共布设地下水监测井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口，井深为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~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15m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，采集地下水样品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（不包含现场平行样），检测项目包括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pH、色度、总硬度、溶解性总固体、硫酸盐、氯化物、铁、锰、铜、锌、铝、挥发酚、耗氧量（CODmn）、氨氮、硫化物、亚硝酸盐、硝酸盐、总氰化物、氟化物、汞、砷、硒、镉、铬（六价）、铅、镍、二甲苯、苯乙烯、细菌总数、总大肠菌群、甲醛、石油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根据样品检测分析结果：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地块内土壤样品中：所有检出项目均未超过相应的土壤污染风险筛选值。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四、初步调查结论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综上，调查地块土壤样品和地下水样品无超筛选值情况，调查活动可以结束，调查地块作为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eastAsia="zh-CN"/>
        </w:rPr>
        <w:t>居住用地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进行开发建设的人体健康风险可接受。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图件索引：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1. 地理位置图（见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2.1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小节第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12~13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2. 重点关注区域分布图（见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3.1.3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小节第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48~49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　　3. 采样布点图（见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4.1.3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小节第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  <w:lang w:val="en-US" w:eastAsia="zh-CN"/>
        </w:rPr>
        <w:t>77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8"/>
          <w:sz w:val="24"/>
          <w:szCs w:val="24"/>
          <w:shd w:val="clear" w:fill="FFFFFF"/>
        </w:rPr>
        <w:t>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73736"/>
    <w:rsid w:val="2C49729F"/>
    <w:rsid w:val="2D761CA3"/>
    <w:rsid w:val="60273736"/>
    <w:rsid w:val="6F1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1216</Characters>
  <Lines>0</Lines>
  <Paragraphs>0</Paragraphs>
  <TotalTime>8</TotalTime>
  <ScaleCrop>false</ScaleCrop>
  <LinksUpToDate>false</LinksUpToDate>
  <CharactersWithSpaces>1271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2021-05-08T06:42:00Z</dcterms:created>
  <dc:creator>只愿一人悲伤</dc:creator>
  <cp:lastModifiedBy>在路上</cp:lastModifiedBy>
  <dcterms:modified xsi:type="dcterms:W3CDTF">2022-04-29T00:57:02Z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DAC87594480D4E38AED30F8D8ADFC043</vt:lpwstr>
  </property>
</Properties>
</file>